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2" w:rsidRDefault="00EB0D22" w:rsidP="00EB0D22">
      <w:pPr>
        <w:spacing w:line="594" w:lineRule="exact"/>
        <w:jc w:val="center"/>
        <w:rPr>
          <w:rFonts w:hint="eastAsia"/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2016年第4号</w:t>
      </w:r>
    </w:p>
    <w:p w:rsidR="00EB0D22" w:rsidRDefault="00EB0D22" w:rsidP="00EB0D22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EB0D22" w:rsidRDefault="00EB0D22" w:rsidP="00EB0D22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EB0D22" w:rsidRDefault="00EB0D22" w:rsidP="00EB0D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</w:t>
      </w:r>
      <w:r w:rsidR="006B21A7"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7407-2015《中国及世界</w:t>
      </w:r>
    </w:p>
    <w:p w:rsidR="00EB0D22" w:rsidRDefault="00EB0D22" w:rsidP="00EB0D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主要海运贸易港口代码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国家标准</w:t>
      </w:r>
    </w:p>
    <w:p w:rsidR="00EB0D22" w:rsidRDefault="00EB0D22" w:rsidP="00EB0D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第1号修改单的公告</w:t>
      </w:r>
    </w:p>
    <w:p w:rsidR="00EB0D22" w:rsidRDefault="00EB0D22" w:rsidP="00EB0D22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EB0D22" w:rsidRDefault="00EB0D22" w:rsidP="00EB0D22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国家标准化管理委员会批准GB/T7407-2015《中国及世界主要海运贸易港口代码》国家标准第1号修改单，自2016年4月1日起实施，现予以发布（见附件）。</w:t>
      </w:r>
    </w:p>
    <w:p w:rsidR="00EB0D22" w:rsidRDefault="00EB0D22" w:rsidP="00EB0D22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EB0D22" w:rsidRDefault="00EB0D22" w:rsidP="00EB0D22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EB0D22" w:rsidRDefault="00EB0D22" w:rsidP="00EB0D22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EB0D22" w:rsidRDefault="00EB0D22" w:rsidP="00EB0D22">
      <w:pPr>
        <w:spacing w:line="594" w:lineRule="exact"/>
        <w:ind w:rightChars="863" w:right="1812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EB0D22" w:rsidRDefault="00EB0D22" w:rsidP="00EB0D22">
      <w:pPr>
        <w:wordWrap w:val="0"/>
        <w:spacing w:line="594" w:lineRule="exact"/>
        <w:jc w:val="right"/>
        <w:rPr>
          <w:rFonts w:ascii="Times New Roman"/>
          <w:szCs w:val="24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2016年2月24日        </w:t>
      </w:r>
    </w:p>
    <w:p w:rsidR="00EB0D22" w:rsidRDefault="00EB0D22" w:rsidP="00EB0D22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:rsidR="00EB0D22" w:rsidRDefault="00EB0D22" w:rsidP="00EB0D22">
      <w:pPr>
        <w:spacing w:line="594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br w:type="page"/>
      </w:r>
      <w:r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lastRenderedPageBreak/>
        <w:t>附件</w:t>
      </w:r>
    </w:p>
    <w:p w:rsidR="00EB0D22" w:rsidRDefault="00EB0D22" w:rsidP="00EB0D22">
      <w:pPr>
        <w:spacing w:line="594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:rsidR="00EB0D22" w:rsidRDefault="00EB0D22" w:rsidP="00EB0D22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GB/T 7407-2015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《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中国及世界主要海运</w:t>
      </w:r>
    </w:p>
    <w:p w:rsidR="00EB0D22" w:rsidRDefault="00EB0D22" w:rsidP="00EB0D22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贸易港口代码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》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国家标准</w:t>
      </w:r>
    </w:p>
    <w:p w:rsidR="00EB0D22" w:rsidRDefault="00EB0D22" w:rsidP="00EB0D22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第1号修改单</w:t>
      </w:r>
    </w:p>
    <w:p w:rsidR="00EB0D22" w:rsidRDefault="00EB0D22" w:rsidP="00EB0D22">
      <w:pPr>
        <w:spacing w:line="594" w:lineRule="exact"/>
        <w:rPr>
          <w:szCs w:val="21"/>
        </w:rPr>
      </w:pPr>
    </w:p>
    <w:p w:rsidR="00EB0D22" w:rsidRDefault="00EB0D22" w:rsidP="00EB0D22">
      <w:pPr>
        <w:spacing w:line="594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  <w:bookmarkStart w:id="1" w:name="_Toc269288643"/>
      <w:r>
        <w:rPr>
          <w:rFonts w:ascii="方正仿宋简体" w:eastAsia="方正仿宋简体" w:hAnsi="宋体" w:cs="方正仿宋简体" w:hint="eastAsia"/>
          <w:sz w:val="32"/>
          <w:szCs w:val="30"/>
        </w:rPr>
        <w:t xml:space="preserve">5  </w:t>
      </w:r>
      <w:bookmarkEnd w:id="1"/>
      <w:r>
        <w:rPr>
          <w:rFonts w:ascii="方正仿宋简体" w:eastAsia="方正仿宋简体" w:hAnsi="宋体" w:cs="方正仿宋简体" w:hint="eastAsia"/>
          <w:sz w:val="32"/>
          <w:szCs w:val="30"/>
        </w:rPr>
        <w:t xml:space="preserve">代码表 </w:t>
      </w:r>
    </w:p>
    <w:p w:rsidR="00EB0D22" w:rsidRDefault="00EB0D22" w:rsidP="00EB0D22">
      <w:pPr>
        <w:spacing w:line="594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  <w:r>
        <w:rPr>
          <w:rFonts w:ascii="方正仿宋简体" w:eastAsia="方正仿宋简体" w:hAnsi="宋体" w:cs="方正仿宋简体" w:hint="eastAsia"/>
          <w:sz w:val="32"/>
          <w:szCs w:val="30"/>
        </w:rPr>
        <w:t>表1“中国及世界主要海运贸易港口代码表”中增加以下内容:</w:t>
      </w:r>
    </w:p>
    <w:p w:rsidR="00EB0D22" w:rsidRDefault="00EB0D22" w:rsidP="00EB0D22">
      <w:pPr>
        <w:spacing w:line="594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  <w:r>
        <w:rPr>
          <w:rFonts w:ascii="方正仿宋简体" w:eastAsia="方正仿宋简体" w:hAnsi="宋体" w:cs="方正仿宋简体" w:hint="eastAsia"/>
          <w:sz w:val="32"/>
          <w:szCs w:val="30"/>
        </w:rPr>
        <w:t>（1）在“南通港”和“上海港”之间增加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951"/>
        <w:gridCol w:w="1085"/>
        <w:gridCol w:w="2641"/>
      </w:tblGrid>
      <w:tr w:rsidR="00EB0D22" w:rsidTr="00EB0D22">
        <w:trPr>
          <w:tblHeader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rPr>
                <w:rFonts w:ascii="方正仿宋简体" w:eastAsia="方正仿宋简体" w:hAnsi="宋体" w:cs="Arial Unicode MS"/>
                <w:color w:val="333333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color w:val="333333"/>
                <w:sz w:val="30"/>
                <w:szCs w:val="30"/>
              </w:rPr>
              <w:t>如皋港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ind w:firstLineChars="34" w:firstLine="102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proofErr w:type="spellStart"/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Rugaogang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CNRUG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河港</w:t>
            </w:r>
          </w:p>
        </w:tc>
      </w:tr>
      <w:tr w:rsidR="00EB0D22" w:rsidTr="00EB0D22">
        <w:trPr>
          <w:tblHeader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rPr>
                <w:rFonts w:ascii="方正仿宋简体" w:eastAsia="方正仿宋简体" w:hAnsi="宋体" w:cs="Arial Unicode MS"/>
                <w:color w:val="333333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color w:val="333333"/>
                <w:sz w:val="30"/>
                <w:szCs w:val="30"/>
              </w:rPr>
              <w:t>启东港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ind w:firstLineChars="34" w:firstLine="102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proofErr w:type="spellStart"/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Qidonggang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CNQID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河港</w:t>
            </w:r>
          </w:p>
        </w:tc>
      </w:tr>
    </w:tbl>
    <w:p w:rsidR="00EB0D22" w:rsidRDefault="00EB0D22" w:rsidP="00EB0D22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  <w:r>
        <w:rPr>
          <w:rFonts w:ascii="方正仿宋简体" w:eastAsia="方正仿宋简体" w:hAnsi="宋体" w:cs="方正仿宋简体" w:hint="eastAsia"/>
          <w:sz w:val="32"/>
          <w:szCs w:val="30"/>
        </w:rPr>
        <w:t>（2）在“海门港”与“温岭港”之间增加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944"/>
        <w:gridCol w:w="1088"/>
        <w:gridCol w:w="2648"/>
      </w:tblGrid>
      <w:tr w:rsidR="00EB0D22" w:rsidTr="00EB0D22">
        <w:trPr>
          <w:tblHeader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ind w:firstLineChars="100" w:firstLine="300"/>
              <w:rPr>
                <w:rFonts w:ascii="方正仿宋简体" w:eastAsia="方正仿宋简体" w:hAnsi="宋体" w:cs="Arial Unicode MS"/>
                <w:color w:val="333333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color w:val="333333"/>
                <w:sz w:val="30"/>
                <w:szCs w:val="30"/>
              </w:rPr>
              <w:t>大麦屿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ind w:firstLineChars="34" w:firstLine="102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proofErr w:type="spellStart"/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Damaiyu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CNDMY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22" w:rsidRDefault="00EB0D22">
            <w:pPr>
              <w:spacing w:line="594" w:lineRule="exact"/>
              <w:rPr>
                <w:rFonts w:ascii="方正仿宋简体" w:eastAsia="方正仿宋简体" w:hAnsi="宋体" w:cs="Arial Unicode MS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台州港</w:t>
            </w:r>
            <w:proofErr w:type="gramEnd"/>
            <w:r>
              <w:rPr>
                <w:rFonts w:ascii="方正仿宋简体" w:eastAsia="方正仿宋简体" w:hAnsi="宋体" w:cs="Arial Unicode MS" w:hint="eastAsia"/>
                <w:sz w:val="30"/>
                <w:szCs w:val="30"/>
              </w:rPr>
              <w:t>港区之一</w:t>
            </w:r>
          </w:p>
        </w:tc>
      </w:tr>
    </w:tbl>
    <w:p w:rsidR="00EB0D22" w:rsidRDefault="00EB0D22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</w:p>
    <w:p w:rsidR="00EB0D22" w:rsidRDefault="00EB0D22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</w:p>
    <w:p w:rsidR="00EB0D22" w:rsidRDefault="00EB0D22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</w:p>
    <w:p w:rsidR="00EB0D22" w:rsidRDefault="00EB0D22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 w:hint="eastAsia"/>
          <w:sz w:val="32"/>
          <w:szCs w:val="30"/>
        </w:rPr>
      </w:pPr>
    </w:p>
    <w:p w:rsidR="006B21A7" w:rsidRDefault="006B21A7" w:rsidP="00EB0D22">
      <w:pPr>
        <w:spacing w:line="520" w:lineRule="exact"/>
        <w:ind w:firstLineChars="200" w:firstLine="640"/>
        <w:rPr>
          <w:rFonts w:ascii="方正仿宋简体" w:eastAsia="方正仿宋简体" w:hAnsi="宋体" w:cs="方正仿宋简体"/>
          <w:sz w:val="32"/>
          <w:szCs w:val="30"/>
        </w:rPr>
      </w:pPr>
    </w:p>
    <w:p w:rsidR="00EB0D22" w:rsidRDefault="00EB0D22" w:rsidP="00EB0D22">
      <w:pPr>
        <w:spacing w:line="520" w:lineRule="exact"/>
        <w:rPr>
          <w:rFonts w:hint="eastAsia"/>
        </w:rPr>
      </w:pPr>
    </w:p>
    <w:p w:rsidR="006B21A7" w:rsidRDefault="006B21A7" w:rsidP="00EB0D22">
      <w:pPr>
        <w:spacing w:line="520" w:lineRule="exact"/>
        <w:rPr>
          <w:rFonts w:hint="eastAsia"/>
        </w:rPr>
      </w:pPr>
    </w:p>
    <w:p w:rsidR="006B21A7" w:rsidRDefault="006B21A7" w:rsidP="00EB0D22">
      <w:pPr>
        <w:spacing w:line="520" w:lineRule="exact"/>
        <w:rPr>
          <w:rFonts w:hint="eastAsia"/>
        </w:rPr>
      </w:pPr>
    </w:p>
    <w:p w:rsidR="006B21A7" w:rsidRDefault="006B21A7" w:rsidP="00EB0D22">
      <w:pPr>
        <w:spacing w:line="520" w:lineRule="exact"/>
        <w:rPr>
          <w:rFonts w:hint="eastAsia"/>
        </w:rPr>
      </w:pPr>
    </w:p>
    <w:p w:rsidR="00EB0D22" w:rsidRDefault="00EB0D22" w:rsidP="00EB0D22">
      <w:pPr>
        <w:pBdr>
          <w:bottom w:val="single" w:sz="12" w:space="1" w:color="auto"/>
        </w:pBdr>
        <w:spacing w:line="520" w:lineRule="exact"/>
        <w:rPr>
          <w:rFonts w:ascii="方正小标宋简体" w:eastAsia="方正小标宋简体"/>
          <w:sz w:val="32"/>
          <w:szCs w:val="32"/>
        </w:rPr>
      </w:pPr>
    </w:p>
    <w:p w:rsidR="00EB0D22" w:rsidRDefault="00EB0D22" w:rsidP="006B21A7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印送：各省、自治区、直辖市质量技术监督局，总局各直属检验检疫局，国务院各有关部门、行业协会、集团公司，总局各司（局）、直属挂靠单位，全国各直属标准化技术委员会。</w:t>
      </w:r>
    </w:p>
    <w:p w:rsidR="00EB0D22" w:rsidRDefault="00EB0D22" w:rsidP="00EB0D22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 w:hAnsi="宋体" w:cs="方正仿宋简体"/>
          <w:sz w:val="32"/>
          <w:szCs w:val="30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2016年2月25日印发</w:t>
      </w:r>
    </w:p>
    <w:p w:rsidR="00386188" w:rsidRDefault="00386188"/>
    <w:sectPr w:rsidR="00386188" w:rsidSect="006B21A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22"/>
    <w:rsid w:val="00312590"/>
    <w:rsid w:val="00386188"/>
    <w:rsid w:val="006B21A7"/>
    <w:rsid w:val="00E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2016-03-03T09:26:00Z</dcterms:created>
  <dcterms:modified xsi:type="dcterms:W3CDTF">2016-03-03T09:26:00Z</dcterms:modified>
</cp:coreProperties>
</file>