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sz w:val="32"/>
          <w:szCs w:val="32"/>
        </w:rPr>
      </w:pPr>
      <w:r>
        <w:rPr>
          <w:rFonts w:hint="eastAsia" w:ascii="黑体" w:hAnsi="黑体" w:eastAsia="黑体"/>
          <w:sz w:val="32"/>
          <w:szCs w:val="32"/>
        </w:rPr>
        <w:t>一、国家标准</w:t>
      </w:r>
    </w:p>
    <w:tbl>
      <w:tblPr>
        <w:tblStyle w:val="10"/>
        <w:tblW w:w="140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
      <w:tblGrid>
        <w:gridCol w:w="624"/>
        <w:gridCol w:w="1984"/>
        <w:gridCol w:w="8277"/>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tblHeader/>
          <w:jc w:val="center"/>
        </w:trPr>
        <w:tc>
          <w:tcPr>
            <w:tcW w:w="624" w:type="dxa"/>
            <w:tcBorders>
              <w:top w:val="single" w:color="auto" w:sz="4" w:space="0"/>
              <w:bottom w:val="single" w:color="auto" w:sz="4" w:space="0"/>
              <w:right w:val="single" w:color="auto" w:sz="4" w:space="0"/>
            </w:tcBorders>
            <w:shd w:val="clear" w:color="auto" w:fill="auto"/>
            <w:vAlign w:val="center"/>
          </w:tcPr>
          <w:p>
            <w:pPr>
              <w:widowControl/>
              <w:spacing w:line="280" w:lineRule="exact"/>
              <w:ind w:left="-49" w:leftChars="-25" w:right="-49"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49" w:leftChars="-25" w:right="-49"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国家标准编号</w:t>
            </w:r>
          </w:p>
        </w:tc>
        <w:tc>
          <w:tcPr>
            <w:tcW w:w="8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49" w:leftChars="-25" w:right="-49"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  家  标  准  名  称</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49" w:leftChars="-25" w:right="-49"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代替标准号</w:t>
            </w:r>
          </w:p>
        </w:tc>
        <w:tc>
          <w:tcPr>
            <w:tcW w:w="1191" w:type="dxa"/>
            <w:tcBorders>
              <w:top w:val="single" w:color="auto" w:sz="4" w:space="0"/>
              <w:left w:val="single" w:color="auto" w:sz="4" w:space="0"/>
              <w:bottom w:val="single" w:color="auto" w:sz="4" w:space="0"/>
            </w:tcBorders>
            <w:shd w:val="clear" w:color="auto" w:fill="auto"/>
            <w:vAlign w:val="center"/>
          </w:tcPr>
          <w:p>
            <w:pPr>
              <w:widowControl/>
              <w:spacing w:line="280" w:lineRule="exact"/>
              <w:ind w:left="-49" w:leftChars="-25" w:right="-49" w:rightChars="-25"/>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1800.1-2020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spacing w:val="-6"/>
                <w:kern w:val="0"/>
                <w:sz w:val="22"/>
              </w:rPr>
            </w:pPr>
            <w:r>
              <w:rPr>
                <w:rFonts w:hint="eastAsia" w:ascii="仿宋_GB2312" w:hAnsi="宋体" w:eastAsia="仿宋_GB2312" w:cs="宋体"/>
                <w:spacing w:val="-6"/>
                <w:kern w:val="0"/>
                <w:sz w:val="22"/>
              </w:rPr>
              <w:t xml:space="preserve">产品几何技术规范（GPS） </w:t>
            </w:r>
            <w:r>
              <w:rPr>
                <w:rFonts w:ascii="仿宋_GB2312" w:hAnsi="宋体" w:eastAsia="仿宋_GB2312" w:cs="宋体"/>
                <w:spacing w:val="-6"/>
                <w:kern w:val="0"/>
                <w:sz w:val="22"/>
              </w:rPr>
              <w:t xml:space="preserve"> </w:t>
            </w:r>
            <w:r>
              <w:rPr>
                <w:rFonts w:hint="eastAsia" w:ascii="仿宋_GB2312" w:hAnsi="宋体" w:eastAsia="仿宋_GB2312" w:cs="宋体"/>
                <w:spacing w:val="-6"/>
                <w:kern w:val="0"/>
                <w:sz w:val="22"/>
              </w:rPr>
              <w:t>线性尺寸公差ISO代号体系  第1部分：公差、偏差和配合的基础</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1800.1-2009,</w:t>
            </w:r>
          </w:p>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1801-2009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1800.2-2020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产品几何技术规范（GPS）  线性尺寸公差ISO代号体系 </w:t>
            </w:r>
            <w:r>
              <w:rPr>
                <w:rFonts w:ascii="仿宋_GB2312" w:hAnsi="宋体" w:eastAsia="仿宋_GB2312" w:cs="宋体"/>
                <w:kern w:val="0"/>
                <w:sz w:val="22"/>
              </w:rPr>
              <w:t xml:space="preserve"> </w:t>
            </w:r>
            <w:r>
              <w:rPr>
                <w:rFonts w:hint="eastAsia" w:ascii="仿宋_GB2312" w:hAnsi="宋体" w:eastAsia="仿宋_GB2312" w:cs="宋体"/>
                <w:kern w:val="0"/>
                <w:sz w:val="22"/>
              </w:rPr>
              <w:t>第2部分：标准公差带代号和孔、轴的极限偏差表</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1800.2-2009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2481.2-2020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固结磨具用磨料  粒度组成的检测和标记  第2部分：微粉</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2481.2-2009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2889.1-2020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滑动轴承  术语、定义、分类和符号  第1部分：结构、轴承材料及其性能</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2889.1-2008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2889.2-2020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滑动轴承  术语、定义、分类和符号  第2部分:摩擦和磨损</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2889.3-2020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滑动轴承  术语、定义、分类和符号  第3部分:润滑</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3089-2020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不锈钢极薄壁无缝钢管</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3089-2008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3090-2020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不锈钢小直径无缝钢管</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3090-2000</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3286.10-2020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spacing w:val="-6"/>
                <w:kern w:val="0"/>
                <w:sz w:val="22"/>
              </w:rPr>
              <w:t>石灰石及白云石化学分析方法 第10部分：二氧化钛含量的测定 二安替吡啉甲烷分光光度法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4334-2020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金属和合金的腐蚀  奥氏体及铁素体-奥氏体（双相）不锈钢晶间腐蚀试验方法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4334-2008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spacing w:val="-6"/>
                <w:kern w:val="0"/>
                <w:sz w:val="22"/>
              </w:rPr>
              <w:t>GB/T 5095.2506-2020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电子设备用机电元件 基本试验规程及测量方法 第25-6部分：试验25f：眼图和抖动</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spacing w:val="-6"/>
                <w:kern w:val="0"/>
                <w:sz w:val="22"/>
              </w:rPr>
              <w:t>GB/T 5095.2509-2020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电子设备用机电元件 基本试验规程及测量方法 第25-9部分：信号完整性试验 试验25i：外来串扰</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5226.34-2020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机械电气安全 机械电气设备 第34部分：机床技术条件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5770-2020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柴油机柱塞式喷油泵总成  技术条件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5770-2008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7782-2020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计量泵</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7782-2008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8484-2020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建筑外门窗保温性能检测方法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8484-2008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11357-2020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带轮的材质、表面粗糙度及平衡</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11357-2008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11989-2020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表面活性剂  工业烷基芳基磺酸钠（不包括苯衍生物）试验方法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11989-2008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12729.3-2020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香辛料和调味品 分析用粉末试样的制备</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12729.3-2008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13319-2020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产品几何技术规范（GPS） </w:t>
            </w:r>
            <w:r>
              <w:rPr>
                <w:rFonts w:ascii="仿宋_GB2312" w:hAnsi="宋体" w:eastAsia="仿宋_GB2312" w:cs="宋体"/>
                <w:kern w:val="0"/>
                <w:sz w:val="22"/>
              </w:rPr>
              <w:t xml:space="preserve"> </w:t>
            </w:r>
            <w:r>
              <w:rPr>
                <w:rFonts w:hint="eastAsia" w:ascii="仿宋_GB2312" w:hAnsi="宋体" w:eastAsia="仿宋_GB2312" w:cs="宋体"/>
                <w:kern w:val="0"/>
                <w:sz w:val="22"/>
              </w:rPr>
              <w:t>几何公差  成组（要素）与组合几何规范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13319-2003</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13908-2020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固体矿产地质勘查规范总则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13908-2002</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2020-05-01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16145-2020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生物样品中放射性核素的γ能谱分析方法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16145-1995</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18770-2020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食盐批发企业管理质量等级划分及技术要求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18770-2008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19724-2020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林业机械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便携式油锯和割灌机 </w:t>
            </w:r>
            <w:r>
              <w:rPr>
                <w:rFonts w:ascii="仿宋_GB2312" w:hAnsi="宋体" w:eastAsia="仿宋_GB2312" w:cs="宋体"/>
                <w:kern w:val="0"/>
                <w:sz w:val="22"/>
              </w:rPr>
              <w:t xml:space="preserve"> </w:t>
            </w:r>
            <w:r>
              <w:rPr>
                <w:rFonts w:hint="eastAsia" w:ascii="仿宋_GB2312" w:hAnsi="宋体" w:eastAsia="仿宋_GB2312" w:cs="宋体"/>
                <w:kern w:val="0"/>
                <w:sz w:val="22"/>
              </w:rPr>
              <w:t>易引起火险的排放系统</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19724-2005</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19725.1-2020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农林机械  便携式割灌机和割草机安全要求和试验  第1部分：侧挂式动力机械</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19725.1-2014</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19725.2-2020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农林机械  便携式割灌机和割草机安全要求和试验  第2部分：背负式动力机械</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19725.2-2014</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19726.1-2020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林业机械  便携式油锯安全要求和试验  第1部分：林用油锯</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19726.1-2013</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19726.2-2020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林业机械  便携式油锯安全要求和试验  第2部分：修枝油锯</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19726.2-2013</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20281-2020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防火墙安全技术要求和测试评价方法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20010-2005,</w:t>
            </w:r>
          </w:p>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20281-2015,</w:t>
            </w:r>
          </w:p>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31505-2015,</w:t>
            </w:r>
          </w:p>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32917-2016</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20308-2020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矩阵模型</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20308-2006</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20567-2020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钒氮合金</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20567-2006</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20888.1-2020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林业机械  杆式动力修枝锯安全要求和试验  第1部分：侧挂式动力修枝锯</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20888.1-2013</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20888.2-2020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林业机械  杆式动力修枝锯安全要求和试验  第2部分：背负式动力修枝锯</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 20888.2-2013</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21085-2020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机动车出厂合格证</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21085-2007</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21833.1-2020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奥氏体-铁素体型双相不锈钢无缝钢管  第1部分：热交换器用管</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部分代替：</w:t>
            </w:r>
          </w:p>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21833-2008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21833.2-2020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奥氏体-铁素体型双相不锈钢无缝钢管  第2部分：流体输送用管</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部分代替：</w:t>
            </w:r>
          </w:p>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21833-2008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22240-2020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网络安全等级保护定级指南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22240-2008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22864-2020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毛巾</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22864-2009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39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23137-2020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家用和类似用途热泵热水器</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23137-2008</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24637.1-2020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产品几何技术规范（GPS） </w:t>
            </w:r>
            <w:r>
              <w:rPr>
                <w:rFonts w:ascii="仿宋_GB2312" w:hAnsi="宋体" w:eastAsia="仿宋_GB2312" w:cs="宋体"/>
                <w:kern w:val="0"/>
                <w:sz w:val="22"/>
              </w:rPr>
              <w:t xml:space="preserve"> </w:t>
            </w:r>
            <w:r>
              <w:rPr>
                <w:rFonts w:hint="eastAsia" w:ascii="仿宋_GB2312" w:hAnsi="宋体" w:eastAsia="仿宋_GB2312" w:cs="宋体"/>
                <w:kern w:val="0"/>
                <w:sz w:val="22"/>
              </w:rPr>
              <w:t>通用概念  第1部分：几何规范和检验的模型</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24637.1-2009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24637.2-2020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产品几何技术规范（GPS） </w:t>
            </w:r>
            <w:r>
              <w:rPr>
                <w:rFonts w:ascii="仿宋_GB2312" w:hAnsi="宋体" w:eastAsia="仿宋_GB2312" w:cs="宋体"/>
                <w:kern w:val="0"/>
                <w:sz w:val="22"/>
              </w:rPr>
              <w:t xml:space="preserve"> </w:t>
            </w:r>
            <w:r>
              <w:rPr>
                <w:rFonts w:hint="eastAsia" w:ascii="仿宋_GB2312" w:hAnsi="宋体" w:eastAsia="仿宋_GB2312" w:cs="宋体"/>
                <w:kern w:val="0"/>
                <w:sz w:val="22"/>
              </w:rPr>
              <w:t>通用概念  第2部分：基本原则、规范、操作集和不确定度</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24637.2-2009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24637.3-2020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通用概念  第3部分：被测要素</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24637.4-2020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产品几何技术规范（GPS）  通用概念 </w:t>
            </w:r>
            <w:r>
              <w:rPr>
                <w:rFonts w:ascii="仿宋_GB2312" w:hAnsi="宋体" w:eastAsia="仿宋_GB2312" w:cs="宋体"/>
                <w:kern w:val="0"/>
                <w:sz w:val="22"/>
              </w:rPr>
              <w:t xml:space="preserve"> </w:t>
            </w:r>
            <w:r>
              <w:rPr>
                <w:rFonts w:hint="eastAsia" w:ascii="仿宋_GB2312" w:hAnsi="宋体" w:eastAsia="仿宋_GB2312" w:cs="宋体"/>
                <w:kern w:val="0"/>
                <w:sz w:val="22"/>
              </w:rPr>
              <w:t>第4部分：几何特征的GPS偏差量化</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24679.2-2020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植物保护机械  背负式喷雾器  第2部分：安全和环境要求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24679.2-2009</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25066-2020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信息安全产品类别与代码</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25066-2010</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25067-2020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安全技术  信息安全管理体系审核和认证机构要求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25067-2016</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28239-2020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非道路用柴油机燃料消耗率限值及试验方法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28239-2012</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28454-2020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安全技术  入侵检测和防御系统（IDPS）的选择、部署和操作</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28454-2012</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49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28826.2-2020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信息技术  公用生物特征识别交换格式框架 第2部分：生物特征识别注册机构操作规程</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28826.2-2014</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29479.2-2020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移动实验室  第2部分：能力要求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29633.4-2020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南极地名  第4部分：罗马字母拼写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30284-2020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移动通信智能终端操作系统安全技术要求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30284-2013</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30428.8-2020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数字化城市管理信息系统  第8部分：立案、处置和结案</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31301.6-2020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制鞋机械  安全要求  第6部分：上胶机和胶粘干燥机</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31301.7-2020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制鞋机械  安全要求  第7部分：铣削机和雕刻机</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31301.8-2020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制鞋机械  安全要求  第8部分：定型机</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31396.3-2020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机床  分离爪自定心卡盘尺寸和几何精度检验  第3部分：梳齿配合型动力卡盘</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34874.6-2020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X射线三维尺寸测量机  第6部分：工件的检测方法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59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34953.4-2020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信息技术  安全技术  匿名实体鉴别 第4部分：基于弱秘密的机制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36464.1-2020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信息技术  智能语音交互系统  第1部分：通用规范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37414.2-2020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工业机器人电气设备及系统 </w:t>
            </w:r>
            <w:r>
              <w:rPr>
                <w:rFonts w:ascii="仿宋_GB2312" w:hAnsi="宋体" w:eastAsia="仿宋_GB2312" w:cs="宋体"/>
                <w:kern w:val="0"/>
                <w:sz w:val="22"/>
              </w:rPr>
              <w:t xml:space="preserve"> </w:t>
            </w:r>
            <w:r>
              <w:rPr>
                <w:rFonts w:hint="eastAsia" w:ascii="仿宋_GB2312" w:hAnsi="宋体" w:eastAsia="仿宋_GB2312" w:cs="宋体"/>
                <w:kern w:val="0"/>
                <w:sz w:val="22"/>
              </w:rPr>
              <w:t>第2部分：交流伺服驱动装置技术条件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37414.3-2020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工业机器人电气设备及系统 </w:t>
            </w:r>
            <w:r>
              <w:rPr>
                <w:rFonts w:ascii="仿宋_GB2312" w:hAnsi="宋体" w:eastAsia="仿宋_GB2312" w:cs="宋体"/>
                <w:kern w:val="0"/>
                <w:sz w:val="22"/>
              </w:rPr>
              <w:t xml:space="preserve"> </w:t>
            </w:r>
            <w:r>
              <w:rPr>
                <w:rFonts w:hint="eastAsia" w:ascii="仿宋_GB2312" w:hAnsi="宋体" w:eastAsia="仿宋_GB2312" w:cs="宋体"/>
                <w:kern w:val="0"/>
                <w:sz w:val="22"/>
              </w:rPr>
              <w:t>第3部分：交流伺服电动机技术条件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37733.2-2020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传感器网络  个人健康状态远程监测 </w:t>
            </w:r>
            <w:r>
              <w:rPr>
                <w:rFonts w:ascii="仿宋_GB2312" w:hAnsi="宋体" w:eastAsia="仿宋_GB2312" w:cs="宋体"/>
                <w:kern w:val="0"/>
                <w:sz w:val="22"/>
              </w:rPr>
              <w:t xml:space="preserve"> </w:t>
            </w:r>
            <w:r>
              <w:rPr>
                <w:rFonts w:hint="eastAsia" w:ascii="仿宋_GB2312" w:hAnsi="宋体" w:eastAsia="仿宋_GB2312" w:cs="宋体"/>
                <w:kern w:val="0"/>
                <w:sz w:val="22"/>
              </w:rPr>
              <w:t>第2部分：终端与平台接口技术要求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38001.11-2020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柔性显示器件  第1-1部分：术语与文字符号</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38001.62-2020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柔性显示器件  第6-2部分：环境试验方法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38206.2-2020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气动元件可靠性评估方法  第2部分：换向阀</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38614-2020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基于柔性铰链机构和压电陶瓷驱动器的纳米定位与扫描平台测量方法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38615-2020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超声波物位计通用技术条件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69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38616-2020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纳米定位与扫描平台术语</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38617-2020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工业自动化仪表术语  物位仪表术语</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38618-2020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信息技术  系统间远程通信和信息交换高可靠低时延的无线网络通信协议规范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38619-2020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工业物联网 </w:t>
            </w:r>
            <w:r>
              <w:rPr>
                <w:rFonts w:ascii="仿宋_GB2312" w:hAnsi="宋体" w:eastAsia="仿宋_GB2312" w:cs="宋体"/>
                <w:kern w:val="0"/>
                <w:sz w:val="22"/>
              </w:rPr>
              <w:t xml:space="preserve"> </w:t>
            </w:r>
            <w:r>
              <w:rPr>
                <w:rFonts w:hint="eastAsia" w:ascii="仿宋_GB2312" w:hAnsi="宋体" w:eastAsia="仿宋_GB2312" w:cs="宋体"/>
                <w:kern w:val="0"/>
                <w:sz w:val="22"/>
              </w:rPr>
              <w:t>数据采集结构化描述规范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物位计性能评定方法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发光二极管模块热特性瞬态测试方法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集装箱  2.45GHz频段货运标签通用技术规范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38623-2020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智能制造  人机交互系统  语义库技术要求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38624.1-2020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物联网  网关  第1部分：面向感知设备接入的网关技术要求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密码模块安全检测要求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79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智能联网设备口令保护指南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实时定位 </w:t>
            </w:r>
            <w:r>
              <w:rPr>
                <w:rFonts w:ascii="仿宋_GB2312" w:hAnsi="宋体" w:eastAsia="仿宋_GB2312" w:cs="宋体"/>
                <w:kern w:val="0"/>
                <w:sz w:val="22"/>
              </w:rPr>
              <w:t xml:space="preserve"> </w:t>
            </w:r>
            <w:r>
              <w:rPr>
                <w:rFonts w:hint="eastAsia" w:ascii="仿宋_GB2312" w:hAnsi="宋体" w:eastAsia="仿宋_GB2312" w:cs="宋体"/>
                <w:kern w:val="0"/>
                <w:sz w:val="22"/>
              </w:rPr>
              <w:t>磁定位数据接口</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汽车电子系统网络安全指南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38629-2020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签名验签服务器技术规范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实时定位 </w:t>
            </w:r>
            <w:r>
              <w:rPr>
                <w:rFonts w:ascii="仿宋_GB2312" w:hAnsi="宋体" w:eastAsia="仿宋_GB2312" w:cs="宋体"/>
                <w:kern w:val="0"/>
                <w:sz w:val="22"/>
              </w:rPr>
              <w:t xml:space="preserve"> </w:t>
            </w:r>
            <w:r>
              <w:rPr>
                <w:rFonts w:hint="eastAsia" w:ascii="仿宋_GB2312" w:hAnsi="宋体" w:eastAsia="仿宋_GB2312" w:cs="宋体"/>
                <w:kern w:val="0"/>
                <w:sz w:val="22"/>
              </w:rPr>
              <w:t>多源融合定位数据接口</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安全技术  GB/T 22080具体行业应用  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智能音视频采集设备应用安全要求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信息技术  大数据  系统运维和管理功能要求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38634.1-2020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系统与软件工程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软件测试 </w:t>
            </w:r>
            <w:r>
              <w:rPr>
                <w:rFonts w:ascii="仿宋_GB2312" w:hAnsi="宋体" w:eastAsia="仿宋_GB2312" w:cs="宋体"/>
                <w:kern w:val="0"/>
                <w:sz w:val="22"/>
              </w:rPr>
              <w:t xml:space="preserve"> </w:t>
            </w:r>
            <w:r>
              <w:rPr>
                <w:rFonts w:hint="eastAsia" w:ascii="仿宋_GB2312" w:hAnsi="宋体" w:eastAsia="仿宋_GB2312" w:cs="宋体"/>
                <w:kern w:val="0"/>
                <w:sz w:val="22"/>
              </w:rPr>
              <w:t>第1部分：概念和定义</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38634.2-2020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系统与软件工程  软件测试  第2部分：测试过程</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89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38634.3-2020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系统与软件工程  软件测试 </w:t>
            </w:r>
            <w:r>
              <w:rPr>
                <w:rFonts w:ascii="仿宋_GB2312" w:hAnsi="宋体" w:eastAsia="仿宋_GB2312" w:cs="宋体"/>
                <w:kern w:val="0"/>
                <w:sz w:val="22"/>
              </w:rPr>
              <w:t xml:space="preserve"> </w:t>
            </w:r>
            <w:r>
              <w:rPr>
                <w:rFonts w:hint="eastAsia" w:ascii="仿宋_GB2312" w:hAnsi="宋体" w:eastAsia="仿宋_GB2312" w:cs="宋体"/>
                <w:kern w:val="0"/>
                <w:sz w:val="22"/>
              </w:rPr>
              <w:t>第3部分：测试文档</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38634.4-2020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系统与软件工程  软件测试 </w:t>
            </w:r>
            <w:r>
              <w:rPr>
                <w:rFonts w:ascii="仿宋_GB2312" w:hAnsi="宋体" w:eastAsia="仿宋_GB2312" w:cs="宋体"/>
                <w:kern w:val="0"/>
                <w:sz w:val="22"/>
              </w:rPr>
              <w:t xml:space="preserve"> </w:t>
            </w:r>
            <w:r>
              <w:rPr>
                <w:rFonts w:hint="eastAsia" w:ascii="仿宋_GB2312" w:hAnsi="宋体" w:eastAsia="仿宋_GB2312" w:cs="宋体"/>
                <w:kern w:val="0"/>
                <w:sz w:val="22"/>
              </w:rPr>
              <w:t>第4部分：测试技术</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38635.1-2020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SM9标识密码算法  第1部分：总则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38635.2-2020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SM9标识密码算法  第2部分：算法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传输层密码协议（TLCP）</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38637.1-2020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物联网 </w:t>
            </w:r>
            <w:r>
              <w:rPr>
                <w:rFonts w:ascii="仿宋_GB2312" w:hAnsi="宋体" w:eastAsia="仿宋_GB2312" w:cs="宋体"/>
                <w:kern w:val="0"/>
                <w:sz w:val="22"/>
              </w:rPr>
              <w:t xml:space="preserve"> </w:t>
            </w:r>
            <w:r>
              <w:rPr>
                <w:rFonts w:hint="eastAsia" w:ascii="仿宋_GB2312" w:hAnsi="宋体" w:eastAsia="仿宋_GB2312" w:cs="宋体"/>
                <w:kern w:val="0"/>
                <w:sz w:val="22"/>
              </w:rPr>
              <w:t>感知控制设备接入  第1部分：总体要求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可信计算 </w:t>
            </w:r>
            <w:r>
              <w:rPr>
                <w:rFonts w:ascii="仿宋_GB2312" w:hAnsi="宋体" w:eastAsia="仿宋_GB2312" w:cs="宋体"/>
                <w:kern w:val="0"/>
                <w:sz w:val="22"/>
              </w:rPr>
              <w:t xml:space="preserve"> </w:t>
            </w:r>
            <w:r>
              <w:rPr>
                <w:rFonts w:hint="eastAsia" w:ascii="仿宋_GB2312" w:hAnsi="宋体" w:eastAsia="仿宋_GB2312" w:cs="宋体"/>
                <w:kern w:val="0"/>
                <w:sz w:val="22"/>
              </w:rPr>
              <w:t>可信计算体系结构</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38639-2020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系统与软件工程  软件组合测试方法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盲用数字出版格式</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系统间远程通信和信息交换  低功耗广域网媒体访问控制层和物理层规范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99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工业机器人生命周期风险评价方法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信息技术 大数据 分析系统功能测试要求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可信计算  可信连接测试方法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网络安全事件应急演练指南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移动签名服务技术要求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38647.1-2020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匿名数字签名  第1部分：总则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38647.2-2020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安全技术  匿名数字签名 </w:t>
            </w:r>
            <w:r>
              <w:rPr>
                <w:rFonts w:ascii="仿宋_GB2312" w:hAnsi="宋体" w:eastAsia="仿宋_GB2312" w:cs="宋体"/>
                <w:kern w:val="0"/>
                <w:sz w:val="22"/>
              </w:rPr>
              <w:t xml:space="preserve"> </w:t>
            </w:r>
            <w:r>
              <w:rPr>
                <w:rFonts w:hint="eastAsia" w:ascii="仿宋_GB2312" w:hAnsi="宋体" w:eastAsia="仿宋_GB2312" w:cs="宋体"/>
                <w:kern w:val="0"/>
                <w:sz w:val="22"/>
              </w:rPr>
              <w:t>第2部分：采用群组公钥的机制</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38648-2020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蓝牙安全指南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38649-2020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信息安全技术 </w:t>
            </w:r>
            <w:r>
              <w:rPr>
                <w:rFonts w:ascii="仿宋_GB2312" w:hAnsi="宋体" w:eastAsia="仿宋_GB2312" w:cs="宋体"/>
                <w:kern w:val="0"/>
                <w:sz w:val="22"/>
              </w:rPr>
              <w:t xml:space="preserve"> </w:t>
            </w:r>
            <w:r>
              <w:rPr>
                <w:rFonts w:hint="eastAsia" w:ascii="仿宋_GB2312" w:hAnsi="宋体" w:eastAsia="仿宋_GB2312" w:cs="宋体"/>
                <w:kern w:val="0"/>
                <w:sz w:val="22"/>
              </w:rPr>
              <w:t>智慧城市建设信息安全保障指南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38664.1-2020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大数据  政务数据开放共享  第1部分：总则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109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38664.2-2020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大数据  政务数据开放共享 </w:t>
            </w:r>
            <w:r>
              <w:rPr>
                <w:rFonts w:ascii="仿宋_GB2312" w:hAnsi="宋体" w:eastAsia="仿宋_GB2312" w:cs="宋体"/>
                <w:kern w:val="0"/>
                <w:sz w:val="22"/>
              </w:rPr>
              <w:t xml:space="preserve"> </w:t>
            </w:r>
            <w:r>
              <w:rPr>
                <w:rFonts w:hint="eastAsia" w:ascii="仿宋_GB2312" w:hAnsi="宋体" w:eastAsia="仿宋_GB2312" w:cs="宋体"/>
                <w:kern w:val="0"/>
                <w:sz w:val="22"/>
              </w:rPr>
              <w:t>第2部分：基本要求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38664.3-2020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大数据  政务数据开放共享 </w:t>
            </w:r>
            <w:r>
              <w:rPr>
                <w:rFonts w:ascii="仿宋_GB2312" w:hAnsi="宋体" w:eastAsia="仿宋_GB2312" w:cs="宋体"/>
                <w:kern w:val="0"/>
                <w:sz w:val="22"/>
              </w:rPr>
              <w:t xml:space="preserve"> </w:t>
            </w:r>
            <w:r>
              <w:rPr>
                <w:rFonts w:hint="eastAsia" w:ascii="仿宋_GB2312" w:hAnsi="宋体" w:eastAsia="仿宋_GB2312" w:cs="宋体"/>
                <w:kern w:val="0"/>
                <w:sz w:val="22"/>
              </w:rPr>
              <w:t>第3部分：开放程度评价</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38665.1-2020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手势交互系统  第1部分：通用技术要求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38665.2-2020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手势交互系统 </w:t>
            </w:r>
            <w:r>
              <w:rPr>
                <w:rFonts w:ascii="仿宋_GB2312" w:hAnsi="宋体" w:eastAsia="仿宋_GB2312" w:cs="宋体"/>
                <w:kern w:val="0"/>
                <w:sz w:val="22"/>
              </w:rPr>
              <w:t xml:space="preserve"> </w:t>
            </w:r>
            <w:r>
              <w:rPr>
                <w:rFonts w:hint="eastAsia" w:ascii="仿宋_GB2312" w:hAnsi="宋体" w:eastAsia="仿宋_GB2312" w:cs="宋体"/>
                <w:kern w:val="0"/>
                <w:sz w:val="22"/>
              </w:rPr>
              <w:t>第2部分：系统外部接口</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大数据 </w:t>
            </w:r>
            <w:r>
              <w:rPr>
                <w:rFonts w:ascii="仿宋_GB2312" w:hAnsi="宋体" w:eastAsia="仿宋_GB2312" w:cs="宋体"/>
                <w:kern w:val="0"/>
                <w:sz w:val="22"/>
              </w:rPr>
              <w:t xml:space="preserve"> </w:t>
            </w:r>
            <w:r>
              <w:rPr>
                <w:rFonts w:hint="eastAsia" w:ascii="仿宋_GB2312" w:hAnsi="宋体" w:eastAsia="仿宋_GB2312" w:cs="宋体"/>
                <w:kern w:val="0"/>
                <w:sz w:val="22"/>
              </w:rPr>
              <w:t>工业应用参考架构</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大数据 </w:t>
            </w:r>
            <w:r>
              <w:rPr>
                <w:rFonts w:ascii="仿宋_GB2312" w:hAnsi="宋体" w:eastAsia="仿宋_GB2312" w:cs="宋体"/>
                <w:kern w:val="0"/>
                <w:sz w:val="22"/>
              </w:rPr>
              <w:t xml:space="preserve"> </w:t>
            </w:r>
            <w:r>
              <w:rPr>
                <w:rFonts w:hint="eastAsia" w:ascii="仿宋_GB2312" w:hAnsi="宋体" w:eastAsia="仿宋_GB2312" w:cs="宋体"/>
                <w:kern w:val="0"/>
                <w:sz w:val="22"/>
              </w:rPr>
              <w:t>数据分类指南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智能制造 射频识别系统 通用技术要求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38669-2020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物联网 矿山产线智能监控系统总体技术要求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智能制造 射频识别系统 标签数据格式</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远程人脸识别系统技术要求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119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大数据  接口基本要求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大数据  大数据系统基本要求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信息安全技术  应用软件安全编程指南</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大数据计算系统通用要求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38676-2020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信息技术 </w:t>
            </w:r>
            <w:r>
              <w:rPr>
                <w:rFonts w:ascii="仿宋_GB2312" w:hAnsi="宋体" w:eastAsia="仿宋_GB2312" w:cs="宋体"/>
                <w:kern w:val="0"/>
                <w:sz w:val="22"/>
              </w:rPr>
              <w:t xml:space="preserve"> </w:t>
            </w:r>
            <w:r>
              <w:rPr>
                <w:rFonts w:hint="eastAsia" w:ascii="仿宋_GB2312" w:hAnsi="宋体" w:eastAsia="仿宋_GB2312" w:cs="宋体"/>
                <w:kern w:val="0"/>
                <w:sz w:val="22"/>
              </w:rPr>
              <w:t>大数据 存储与处理系统功能测试要求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烟花爆竹 </w:t>
            </w:r>
            <w:r>
              <w:rPr>
                <w:rFonts w:ascii="仿宋_GB2312" w:hAnsi="宋体" w:eastAsia="仿宋_GB2312" w:cs="宋体"/>
                <w:kern w:val="0"/>
                <w:sz w:val="22"/>
              </w:rPr>
              <w:t xml:space="preserve"> </w:t>
            </w:r>
            <w:r>
              <w:rPr>
                <w:rFonts w:hint="eastAsia" w:ascii="仿宋_GB2312" w:hAnsi="宋体" w:eastAsia="仿宋_GB2312" w:cs="宋体"/>
                <w:kern w:val="0"/>
                <w:sz w:val="22"/>
              </w:rPr>
              <w:t>混药设备通用技术要求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表面活性剂 </w:t>
            </w:r>
            <w:r>
              <w:rPr>
                <w:rFonts w:ascii="仿宋_GB2312" w:hAnsi="宋体" w:eastAsia="仿宋_GB2312" w:cs="宋体"/>
                <w:kern w:val="0"/>
                <w:sz w:val="22"/>
              </w:rPr>
              <w:t xml:space="preserve"> </w:t>
            </w:r>
            <w:r>
              <w:rPr>
                <w:rFonts w:hint="eastAsia" w:ascii="仿宋_GB2312" w:hAnsi="宋体" w:eastAsia="仿宋_GB2312" w:cs="宋体"/>
                <w:kern w:val="0"/>
                <w:sz w:val="22"/>
              </w:rPr>
              <w:t>界面张力的测定 拉起液膜法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木家具中挥发性有机化合物释放速率检测  逐时浓度法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家具中有害物质  放射性的测定</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38725.2-2020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可盘绕式增强塑料管  第2部分：纤维增强热塑性塑料连续管</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129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智能手表的术语、定义和分类</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38729-2020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表面活性剂  工业伯烷基硫酸钠试验方法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表面活性剂在干洗溶剂中的水分散力测定</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表面活性剂  工业仲烷基硫酸钠试验方法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表面活性剂  工业烷基磺酸盐试验方法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办公家具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办公椅 </w:t>
            </w:r>
            <w:r>
              <w:rPr>
                <w:rFonts w:ascii="仿宋_GB2312" w:hAnsi="宋体" w:eastAsia="仿宋_GB2312" w:cs="宋体"/>
                <w:kern w:val="0"/>
                <w:sz w:val="22"/>
              </w:rPr>
              <w:t xml:space="preserve"> </w:t>
            </w:r>
            <w:r>
              <w:rPr>
                <w:rFonts w:hint="eastAsia" w:ascii="仿宋_GB2312" w:hAnsi="宋体" w:eastAsia="仿宋_GB2312" w:cs="宋体"/>
                <w:kern w:val="0"/>
                <w:sz w:val="22"/>
              </w:rPr>
              <w:t>尺寸测量方法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以CO2为制冷剂的热泵热水器技术要求和试验方法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人类尿液样本采集与处理</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人类生物样本保藏伦理要求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塑料 受控污泥消化系统中材料最终厌氧生物分解率测定 </w:t>
            </w:r>
            <w:r>
              <w:rPr>
                <w:rFonts w:ascii="仿宋_GB2312" w:hAnsi="宋体" w:eastAsia="仿宋_GB2312" w:cs="宋体"/>
                <w:kern w:val="0"/>
                <w:sz w:val="22"/>
              </w:rPr>
              <w:t xml:space="preserve"> </w:t>
            </w:r>
            <w:r>
              <w:rPr>
                <w:rFonts w:hint="eastAsia" w:ascii="仿宋_GB2312" w:hAnsi="宋体" w:eastAsia="仿宋_GB2312" w:cs="宋体"/>
                <w:kern w:val="0"/>
                <w:sz w:val="22"/>
              </w:rPr>
              <w:t>采用测量释放生物气体的方法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139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病媒生物防制操作规程  农贸市场</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38739-2020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卫生杀虫药剂安全使用准则 </w:t>
            </w:r>
            <w:r>
              <w:rPr>
                <w:rFonts w:ascii="仿宋_GB2312" w:hAnsi="宋体" w:eastAsia="仿宋_GB2312" w:cs="宋体"/>
                <w:kern w:val="0"/>
                <w:sz w:val="22"/>
              </w:rPr>
              <w:t xml:space="preserve"> </w:t>
            </w:r>
            <w:r>
              <w:rPr>
                <w:rFonts w:hint="eastAsia" w:ascii="仿宋_GB2312" w:hAnsi="宋体" w:eastAsia="仿宋_GB2312" w:cs="宋体"/>
                <w:kern w:val="0"/>
                <w:sz w:val="22"/>
              </w:rPr>
              <w:t>灭幼剂类</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实验动物 猴马尔堡病毒检测方法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口腔清洁护理用品 牙膏中氯己定、呋喃西林、双氯芬酸、氯二甲酚和己脒定二（羟乙基磺酸）盐5种杀菌剂含量的测定 高效液相色谱法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竹砧板</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废旧木材与人造板术语</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机动车尾气净化器中助剂元素化学分析方法 铈、镧、镨、钕、钡、锆含量的测定 电感耦合等离子体原子发射光谱法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2021-03-01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农村产权流转交易 土地经营权流转交易服务规范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农村产权流转交易 信息平台建设与维护</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农村产权流转交易 服务通则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149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38749-2020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可控气氛热处理技术要求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38750.1-2020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往复式内燃机能效评定规范 第1部分：柴油机</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38750.2-2020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往复式内燃机能效评定规范 第2部分：汽油机</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热处理件硬度检验通则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难燃细木工板</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液化天然气</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设施农业小气候观测规范  日光温室和塑料大棚</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气动  有色金属缸筒技术要求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38759-2020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机床 卡盘 术语</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规范和检验中使用的要素</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159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特征和条件 定义</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38762.1-2020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尺寸公差  第1部分：线性尺寸</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38762.2-2020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尺寸公差  第2部分：除线性、角度尺寸外的尺寸</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38762.3-2020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产品几何技术规范（GPS）  尺寸公差  第3部分：角度尺寸</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永磁联轴器 通用技术规范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38764-2020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精准扶贫 中药材  草果产业项目运行管理规范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38765-2020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精准扶贫  中药材  滇重楼产业项目运营管理规范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38766-2020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精准扶贫  光伏农业项目运营管理规范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GB/Z 38767-2020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精准扶贫 </w:t>
            </w:r>
            <w:r>
              <w:rPr>
                <w:rFonts w:ascii="仿宋_GB2312" w:hAnsi="宋体" w:eastAsia="仿宋_GB2312" w:cs="宋体"/>
                <w:kern w:val="0"/>
                <w:sz w:val="22"/>
              </w:rPr>
              <w:t xml:space="preserve"> </w:t>
            </w:r>
            <w:r>
              <w:rPr>
                <w:rFonts w:hint="eastAsia" w:ascii="仿宋_GB2312" w:hAnsi="宋体" w:eastAsia="仿宋_GB2312" w:cs="宋体"/>
                <w:kern w:val="0"/>
                <w:sz w:val="22"/>
              </w:rPr>
              <w:t>驴产业项目运营管理规范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高弹性橡胶联轴器 试验要求及方法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169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38769-2020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金属材料 预裂纹夏比试样冲击加载断裂韧性的测定</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170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低、中碳钢球化组织检验及评级</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171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宇航用微波开关通用规范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172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煤液化沥青</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173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储粮害虫防治技术应用评价方法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74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永磁调速器 通用技术规范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ascii="仿宋_GB2312" w:hAnsi="宋体" w:eastAsia="仿宋_GB2312" w:cs="宋体"/>
                <w:kern w:val="0"/>
                <w:sz w:val="22"/>
              </w:rPr>
              <w:t>175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38775.1-2020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电动汽车无线充电系统 </w:t>
            </w:r>
            <w:r>
              <w:rPr>
                <w:rFonts w:ascii="仿宋_GB2312" w:hAnsi="宋体" w:eastAsia="仿宋_GB2312" w:cs="宋体"/>
                <w:kern w:val="0"/>
                <w:sz w:val="22"/>
              </w:rPr>
              <w:t xml:space="preserve"> </w:t>
            </w:r>
            <w:r>
              <w:rPr>
                <w:rFonts w:hint="eastAsia" w:ascii="仿宋_GB2312" w:hAnsi="宋体" w:eastAsia="仿宋_GB2312" w:cs="宋体"/>
                <w:kern w:val="0"/>
                <w:sz w:val="22"/>
              </w:rPr>
              <w:t>第1部分：通用要求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76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38775.2-2020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电动汽车无线充电系统  第2部分：车载充电机和无线充电设备之间的通信协议</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77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38775.3-2020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电动汽车无线充电系统  第3部分：特殊要求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78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38775.4-2020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电动汽车无线充电系统  第4部分：电磁环境限值与测试方法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79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电子商务软件构件分类与代码</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地面数字电视外接模块式接收终端技术要求和测量方法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专用校车系列型谱</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38779-2020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有轨电车道路通行安全技术规范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38780-2020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竹席</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38781-2020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林业机械  通用安全要求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38787-2020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塑料 材料生物分解试验用样品制备方法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w:t>
            </w:r>
            <w:r>
              <w:rPr>
                <w:rFonts w:ascii="仿宋_GB2312" w:hAnsi="宋体" w:eastAsia="仿宋_GB2312" w:cs="宋体"/>
                <w:kern w:val="0"/>
                <w:sz w:val="22"/>
              </w:rPr>
              <w:t>86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38788-2020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猪多能干细胞建系技术规范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187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38789-2020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口腔清洁护理用品 </w:t>
            </w:r>
            <w:r>
              <w:rPr>
                <w:rFonts w:ascii="仿宋_GB2312" w:hAnsi="宋体" w:eastAsia="仿宋_GB2312" w:cs="宋体"/>
                <w:kern w:val="0"/>
                <w:sz w:val="22"/>
              </w:rPr>
              <w:t xml:space="preserve"> </w:t>
            </w:r>
            <w:r>
              <w:rPr>
                <w:rFonts w:hint="eastAsia" w:ascii="仿宋_GB2312" w:hAnsi="宋体" w:eastAsia="仿宋_GB2312" w:cs="宋体"/>
                <w:kern w:val="0"/>
                <w:sz w:val="22"/>
              </w:rPr>
              <w:t>牙膏中10种元素含量的测定 电感耦合等离子体质谱法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188</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38790.1-2020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生物活性肽功效评价 </w:t>
            </w:r>
            <w:r>
              <w:rPr>
                <w:rFonts w:ascii="仿宋_GB2312" w:hAnsi="宋体" w:eastAsia="仿宋_GB2312" w:cs="宋体"/>
                <w:kern w:val="0"/>
                <w:sz w:val="22"/>
              </w:rPr>
              <w:t xml:space="preserve"> </w:t>
            </w:r>
            <w:r>
              <w:rPr>
                <w:rFonts w:hint="eastAsia" w:ascii="仿宋_GB2312" w:hAnsi="宋体" w:eastAsia="仿宋_GB2312" w:cs="宋体"/>
                <w:kern w:val="0"/>
                <w:sz w:val="22"/>
              </w:rPr>
              <w:t>第1部分：总则</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189</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38791-2020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xml:space="preserve">口腔清洁护理用品 </w:t>
            </w:r>
            <w:r>
              <w:rPr>
                <w:rFonts w:ascii="仿宋_GB2312" w:hAnsi="宋体" w:eastAsia="仿宋_GB2312" w:cs="宋体"/>
                <w:kern w:val="0"/>
                <w:sz w:val="22"/>
              </w:rPr>
              <w:t xml:space="preserve"> </w:t>
            </w:r>
            <w:r>
              <w:rPr>
                <w:rFonts w:hint="eastAsia" w:ascii="仿宋_GB2312" w:hAnsi="宋体" w:eastAsia="仿宋_GB2312" w:cs="宋体"/>
                <w:kern w:val="0"/>
                <w:sz w:val="22"/>
              </w:rPr>
              <w:t>牙膏中硼酸和硼酸盐含量的测定 电感耦合等离子体原子发射光谱法</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190</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38792-2020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蛋白质致敏性细胞学评价技术规范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191</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38793-2020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生物产品降解杂环类农药功效评价技术规范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192</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基于公用电信网的宽带客户网络设备安全测试方法  宽带客户网关</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193</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综合宽带接入网安全技术要求</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194</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38799-2020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基于公用电信网的宽带客户网络设备安全技术要求  宽带客户网关</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195</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38836-2020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农村三格式户厕建设技术规范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196</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38837-2020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农村三格式户厕运行维护规范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Ex>
        <w:trPr>
          <w:cantSplit/>
          <w:trHeight w:val="20" w:hRule="atLeast"/>
          <w:jc w:val="center"/>
        </w:trPr>
        <w:tc>
          <w:tcPr>
            <w:tcW w:w="624" w:type="dxa"/>
            <w:tcBorders>
              <w:right w:val="single" w:color="auto" w:sz="4" w:space="0"/>
            </w:tcBorders>
            <w:shd w:val="clear" w:color="auto" w:fill="auto"/>
          </w:tcPr>
          <w:p>
            <w:pPr>
              <w:widowControl/>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197</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GB/T 38838-2020</w:t>
            </w:r>
          </w:p>
        </w:tc>
        <w:tc>
          <w:tcPr>
            <w:tcW w:w="8277"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农村集中下水道收集户厕建设技术规范</w:t>
            </w:r>
          </w:p>
        </w:tc>
        <w:tc>
          <w:tcPr>
            <w:tcW w:w="1984" w:type="dxa"/>
            <w:tcBorders>
              <w:left w:val="single" w:color="auto" w:sz="4" w:space="0"/>
              <w:right w:val="single" w:color="auto" w:sz="4" w:space="0"/>
            </w:tcBorders>
            <w:shd w:val="clear" w:color="auto" w:fill="auto"/>
          </w:tcPr>
          <w:p>
            <w:pPr>
              <w:spacing w:line="280" w:lineRule="exact"/>
              <w:ind w:left="-49" w:leftChars="-25" w:right="-49" w:rightChars="-25"/>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tcBorders>
            <w:shd w:val="clear" w:color="auto" w:fill="auto"/>
          </w:tcPr>
          <w:p>
            <w:pPr>
              <w:spacing w:line="280" w:lineRule="exact"/>
              <w:ind w:left="-49" w:leftChars="-25" w:right="-49" w:rightChars="-25"/>
              <w:jc w:val="center"/>
              <w:rPr>
                <w:rFonts w:ascii="仿宋_GB2312" w:hAnsi="宋体" w:eastAsia="仿宋_GB2312" w:cs="宋体"/>
                <w:kern w:val="0"/>
                <w:sz w:val="22"/>
              </w:rPr>
            </w:pPr>
            <w:r>
              <w:rPr>
                <w:rFonts w:hint="eastAsia" w:ascii="仿宋_GB2312" w:hAnsi="宋体" w:eastAsia="仿宋_GB2312" w:cs="宋体"/>
                <w:kern w:val="0"/>
                <w:sz w:val="22"/>
              </w:rPr>
              <w:t>2020-04-28</w:t>
            </w:r>
          </w:p>
        </w:tc>
      </w:tr>
    </w:tbl>
    <w:p>
      <w:pPr>
        <w:spacing w:line="594" w:lineRule="exact"/>
        <w:ind w:firstLine="538" w:firstLineChars="200"/>
        <w:rPr>
          <w:rFonts w:ascii="黑体" w:hAnsi="黑体" w:eastAsia="黑体"/>
          <w:sz w:val="28"/>
          <w:szCs w:val="28"/>
        </w:rPr>
      </w:pPr>
      <w:r>
        <w:rPr>
          <w:rFonts w:hint="eastAsia" w:ascii="仿宋_GB2312" w:hAnsi="黑体" w:eastAsia="仿宋_GB2312"/>
          <w:sz w:val="28"/>
          <w:szCs w:val="28"/>
        </w:rPr>
        <w:t>备注：GB/T 21833-2008</w:t>
      </w:r>
      <w:r>
        <w:rPr>
          <w:rFonts w:hint="eastAsia" w:ascii="仿宋_GB2312" w:hAnsi="宋体" w:eastAsia="仿宋_GB2312"/>
          <w:sz w:val="28"/>
          <w:szCs w:val="28"/>
        </w:rPr>
        <w:t>已全部被代替完。</w:t>
      </w:r>
    </w:p>
    <w:p>
      <w:pPr>
        <w:widowControl/>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二、国家标准修改单</w:t>
      </w:r>
    </w:p>
    <w:tbl>
      <w:tblPr>
        <w:tblStyle w:val="10"/>
        <w:tblW w:w="138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4"/>
        <w:gridCol w:w="2224"/>
        <w:gridCol w:w="6410"/>
        <w:gridCol w:w="2400"/>
        <w:gridCol w:w="18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944" w:type="dxa"/>
            <w:tcBorders>
              <w:top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序号</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国家标准编号</w:t>
            </w:r>
          </w:p>
        </w:tc>
        <w:tc>
          <w:tcPr>
            <w:tcW w:w="6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  家  标  准  名  称</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代替标准号</w:t>
            </w:r>
          </w:p>
        </w:tc>
        <w:tc>
          <w:tcPr>
            <w:tcW w:w="1887" w:type="dxa"/>
            <w:tcBorders>
              <w:top w:val="single" w:color="auto" w:sz="4" w:space="0"/>
              <w:left w:val="single" w:color="auto" w:sz="4" w:space="0"/>
              <w:bottom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jc w:val="center"/>
        </w:trPr>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2"/>
              </w:rPr>
            </w:pPr>
            <w:r>
              <w:rPr>
                <w:rFonts w:hint="eastAsia" w:ascii="仿宋_GB2312" w:eastAsia="仿宋_GB2312" w:cs="宋体" w:hAnsiTheme="minorEastAsia"/>
                <w:kern w:val="0"/>
                <w:sz w:val="22"/>
              </w:rPr>
              <w:t>1</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GB/T 35544-2017</w:t>
            </w:r>
          </w:p>
        </w:tc>
        <w:tc>
          <w:tcPr>
            <w:tcW w:w="641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车用压缩氢气铝内胆碳纤维全缠绕气瓶 《第1号修改单》</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　</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仿宋_GB2312" w:eastAsia="仿宋_GB2312" w:cs="宋体" w:hAnsiTheme="minorEastAsia"/>
                <w:kern w:val="0"/>
                <w:sz w:val="22"/>
              </w:rPr>
            </w:pPr>
            <w:r>
              <w:rPr>
                <w:rFonts w:hint="eastAsia" w:ascii="仿宋_GB2312" w:eastAsia="仿宋_GB2312" w:cs="宋体" w:hAnsiTheme="minorEastAsia"/>
                <w:kern w:val="0"/>
                <w:sz w:val="22"/>
              </w:rPr>
              <w:t>2020-04-28</w:t>
            </w:r>
          </w:p>
        </w:tc>
      </w:tr>
    </w:tbl>
    <w:p>
      <w:pPr>
        <w:widowControl/>
        <w:spacing w:line="594" w:lineRule="exact"/>
        <w:ind w:firstLine="618" w:firstLineChars="200"/>
        <w:jc w:val="left"/>
        <w:rPr>
          <w:rFonts w:ascii="仿宋_GB2312" w:hAnsi="黑体" w:eastAsia="仿宋_GB2312"/>
          <w:sz w:val="32"/>
          <w:szCs w:val="32"/>
        </w:rPr>
      </w:pPr>
    </w:p>
    <w:p>
      <w:pPr>
        <w:rPr>
          <w:rFonts w:ascii="仿宋_GB2312" w:eastAsia="仿宋_GB2312"/>
        </w:rPr>
      </w:pPr>
    </w:p>
    <w:p>
      <w:pPr>
        <w:spacing w:line="600" w:lineRule="exact"/>
        <w:rPr>
          <w:rFonts w:ascii="仿宋_GB2312" w:eastAsia="仿宋_GB2312"/>
          <w:sz w:val="32"/>
          <w:szCs w:val="32"/>
        </w:rPr>
        <w:sectPr>
          <w:footerReference r:id="rId3" w:type="default"/>
          <w:footerReference r:id="rId4" w:type="even"/>
          <w:pgSz w:w="16838" w:h="11906" w:orient="landscape"/>
          <w:pgMar w:top="1985" w:right="1474" w:bottom="1361" w:left="1474" w:header="851" w:footer="1191" w:gutter="0"/>
          <w:cols w:space="425" w:num="1"/>
          <w:docGrid w:type="linesAndChars" w:linePitch="295" w:charSpace="-2370"/>
        </w:sectPr>
      </w:pPr>
    </w:p>
    <w:p>
      <w:pPr>
        <w:spacing w:line="600" w:lineRule="exact"/>
        <w:rPr>
          <w:rFonts w:ascii="方正仿宋简体" w:eastAsia="方正仿宋简体"/>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20" w:lineRule="exact"/>
        <w:rPr>
          <w:rFonts w:ascii="方正小标宋简体" w:eastAsia="方正小标宋简体"/>
          <w:sz w:val="32"/>
          <w:szCs w:val="32"/>
        </w:rPr>
      </w:pPr>
      <w:bookmarkStart w:id="0" w:name="_GoBack"/>
      <w:bookmarkEnd w:id="0"/>
    </w:p>
    <w:sectPr>
      <w:pgSz w:w="11906" w:h="16838"/>
      <w:pgMar w:top="1984" w:right="1474" w:bottom="1361" w:left="1474" w:header="851" w:footer="1361" w:gutter="0"/>
      <w:cols w:space="0" w:num="1"/>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211655"/>
    </w:sdtPr>
    <w:sdtContent>
      <w:p>
        <w:pPr>
          <w:pStyle w:val="4"/>
          <w:ind w:right="315" w:rightChars="15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736517"/>
    </w:sdtPr>
    <w:sdtContent>
      <w:p>
        <w:pPr>
          <w:pStyle w:val="4"/>
          <w:ind w:firstLine="180" w:firstLineChars="100"/>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2"/>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D8"/>
    <w:rsid w:val="00004FCA"/>
    <w:rsid w:val="00071969"/>
    <w:rsid w:val="000876F0"/>
    <w:rsid w:val="000B3EFD"/>
    <w:rsid w:val="000C49E0"/>
    <w:rsid w:val="000D5B66"/>
    <w:rsid w:val="000D790F"/>
    <w:rsid w:val="000F7586"/>
    <w:rsid w:val="001032EE"/>
    <w:rsid w:val="0010470F"/>
    <w:rsid w:val="00104812"/>
    <w:rsid w:val="001469AE"/>
    <w:rsid w:val="00155DC5"/>
    <w:rsid w:val="00155DEA"/>
    <w:rsid w:val="001A6132"/>
    <w:rsid w:val="0021368D"/>
    <w:rsid w:val="002266CE"/>
    <w:rsid w:val="0022745F"/>
    <w:rsid w:val="00252FFA"/>
    <w:rsid w:val="002538CF"/>
    <w:rsid w:val="002658B1"/>
    <w:rsid w:val="002822D3"/>
    <w:rsid w:val="002B0F2A"/>
    <w:rsid w:val="002E095D"/>
    <w:rsid w:val="002F3A19"/>
    <w:rsid w:val="002F64CE"/>
    <w:rsid w:val="003104B2"/>
    <w:rsid w:val="00311B6E"/>
    <w:rsid w:val="00320F5F"/>
    <w:rsid w:val="00323E68"/>
    <w:rsid w:val="00324A7B"/>
    <w:rsid w:val="00324D3F"/>
    <w:rsid w:val="00327DA0"/>
    <w:rsid w:val="00335EC4"/>
    <w:rsid w:val="00351491"/>
    <w:rsid w:val="003775E7"/>
    <w:rsid w:val="003837FA"/>
    <w:rsid w:val="003F2E00"/>
    <w:rsid w:val="00424297"/>
    <w:rsid w:val="004402B7"/>
    <w:rsid w:val="004429D8"/>
    <w:rsid w:val="00444CAA"/>
    <w:rsid w:val="00454772"/>
    <w:rsid w:val="004600C3"/>
    <w:rsid w:val="00477BE9"/>
    <w:rsid w:val="00481181"/>
    <w:rsid w:val="004D6D23"/>
    <w:rsid w:val="004E17DD"/>
    <w:rsid w:val="00503534"/>
    <w:rsid w:val="0052635E"/>
    <w:rsid w:val="00551578"/>
    <w:rsid w:val="00557032"/>
    <w:rsid w:val="00557A9E"/>
    <w:rsid w:val="0056114A"/>
    <w:rsid w:val="00565959"/>
    <w:rsid w:val="005D6F75"/>
    <w:rsid w:val="005F4C96"/>
    <w:rsid w:val="006137C5"/>
    <w:rsid w:val="0064381B"/>
    <w:rsid w:val="0064748E"/>
    <w:rsid w:val="00657DF0"/>
    <w:rsid w:val="0069441F"/>
    <w:rsid w:val="006D46D7"/>
    <w:rsid w:val="006D7173"/>
    <w:rsid w:val="006E54E0"/>
    <w:rsid w:val="006F671E"/>
    <w:rsid w:val="00711DE4"/>
    <w:rsid w:val="007251BD"/>
    <w:rsid w:val="00725A63"/>
    <w:rsid w:val="00741BDB"/>
    <w:rsid w:val="00797B44"/>
    <w:rsid w:val="007C24E5"/>
    <w:rsid w:val="007E77D6"/>
    <w:rsid w:val="0081081C"/>
    <w:rsid w:val="00832DB0"/>
    <w:rsid w:val="0083485C"/>
    <w:rsid w:val="0083539A"/>
    <w:rsid w:val="008D137A"/>
    <w:rsid w:val="008D6AB9"/>
    <w:rsid w:val="008E2BAD"/>
    <w:rsid w:val="0092555A"/>
    <w:rsid w:val="00930684"/>
    <w:rsid w:val="00970FD0"/>
    <w:rsid w:val="0097182D"/>
    <w:rsid w:val="00972632"/>
    <w:rsid w:val="00984EBE"/>
    <w:rsid w:val="009A0CD9"/>
    <w:rsid w:val="009B600F"/>
    <w:rsid w:val="009F29E5"/>
    <w:rsid w:val="00A363FD"/>
    <w:rsid w:val="00A47A93"/>
    <w:rsid w:val="00A6334C"/>
    <w:rsid w:val="00AA50BF"/>
    <w:rsid w:val="00AE0F6D"/>
    <w:rsid w:val="00AE614E"/>
    <w:rsid w:val="00AF5CC7"/>
    <w:rsid w:val="00B04DE9"/>
    <w:rsid w:val="00B12011"/>
    <w:rsid w:val="00B94F71"/>
    <w:rsid w:val="00BA5984"/>
    <w:rsid w:val="00BD57AA"/>
    <w:rsid w:val="00C11A83"/>
    <w:rsid w:val="00C169B5"/>
    <w:rsid w:val="00C332C5"/>
    <w:rsid w:val="00C46301"/>
    <w:rsid w:val="00CA77B7"/>
    <w:rsid w:val="00CF672F"/>
    <w:rsid w:val="00D226E2"/>
    <w:rsid w:val="00D37AF5"/>
    <w:rsid w:val="00D417A2"/>
    <w:rsid w:val="00D453F2"/>
    <w:rsid w:val="00D57592"/>
    <w:rsid w:val="00DE46D5"/>
    <w:rsid w:val="00DE525F"/>
    <w:rsid w:val="00DF3400"/>
    <w:rsid w:val="00E13730"/>
    <w:rsid w:val="00E179A1"/>
    <w:rsid w:val="00E20D67"/>
    <w:rsid w:val="00E43697"/>
    <w:rsid w:val="00E44CF2"/>
    <w:rsid w:val="00E61426"/>
    <w:rsid w:val="00E82F5A"/>
    <w:rsid w:val="00ED4ACE"/>
    <w:rsid w:val="00EE373F"/>
    <w:rsid w:val="00EF45A3"/>
    <w:rsid w:val="00F072A3"/>
    <w:rsid w:val="00F21548"/>
    <w:rsid w:val="00F808A4"/>
    <w:rsid w:val="00F865F5"/>
    <w:rsid w:val="00F975C7"/>
    <w:rsid w:val="00FB4E4D"/>
    <w:rsid w:val="00FC1A26"/>
    <w:rsid w:val="00FF0E72"/>
    <w:rsid w:val="02C848FD"/>
    <w:rsid w:val="0C412847"/>
    <w:rsid w:val="0C692CAD"/>
    <w:rsid w:val="172542E1"/>
    <w:rsid w:val="2A281B73"/>
    <w:rsid w:val="2C427FA6"/>
    <w:rsid w:val="2ED25922"/>
    <w:rsid w:val="356F0BB5"/>
    <w:rsid w:val="544818ED"/>
    <w:rsid w:val="592A1B82"/>
    <w:rsid w:val="61F21B84"/>
    <w:rsid w:val="63C068D1"/>
    <w:rsid w:val="6AA35138"/>
    <w:rsid w:val="705401CF"/>
    <w:rsid w:val="74840A24"/>
    <w:rsid w:val="75177D8C"/>
    <w:rsid w:val="788C576F"/>
    <w:rsid w:val="7E797520"/>
    <w:rsid w:val="7EF90D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semiHidden/>
    <w:unhideWhenUsed/>
    <w:qFormat/>
    <w:uiPriority w:val="0"/>
  </w:style>
  <w:style w:type="character" w:styleId="8">
    <w:name w:val="FollowedHyperlink"/>
    <w:basedOn w:val="6"/>
    <w:semiHidden/>
    <w:unhideWhenUsed/>
    <w:qFormat/>
    <w:uiPriority w:val="99"/>
    <w:rPr>
      <w:color w:val="993366"/>
      <w:u w:val="single"/>
    </w:rPr>
  </w:style>
  <w:style w:type="character" w:styleId="9">
    <w:name w:val="Hyperlink"/>
    <w:basedOn w:val="6"/>
    <w:semiHidden/>
    <w:unhideWhenUsed/>
    <w:qFormat/>
    <w:uiPriority w:val="99"/>
    <w:rPr>
      <w:color w:val="0066CC"/>
      <w:u w:val="single"/>
    </w:rPr>
  </w:style>
  <w:style w:type="character" w:customStyle="1" w:styleId="11">
    <w:name w:val="页眉 字符"/>
    <w:basedOn w:val="6"/>
    <w:link w:val="5"/>
    <w:qFormat/>
    <w:uiPriority w:val="99"/>
    <w:rPr>
      <w:sz w:val="18"/>
      <w:szCs w:val="18"/>
    </w:rPr>
  </w:style>
  <w:style w:type="character" w:customStyle="1" w:styleId="12">
    <w:name w:val="页脚 字符"/>
    <w:basedOn w:val="6"/>
    <w:link w:val="4"/>
    <w:qFormat/>
    <w:uiPriority w:val="99"/>
    <w:rPr>
      <w:sz w:val="18"/>
      <w:szCs w:val="18"/>
    </w:rPr>
  </w:style>
  <w:style w:type="character" w:customStyle="1" w:styleId="13">
    <w:name w:val="批注框文本 字符"/>
    <w:basedOn w:val="6"/>
    <w:link w:val="3"/>
    <w:semiHidden/>
    <w:qFormat/>
    <w:uiPriority w:val="99"/>
    <w:rPr>
      <w:sz w:val="18"/>
      <w:szCs w:val="18"/>
    </w:rPr>
  </w:style>
  <w:style w:type="character" w:customStyle="1" w:styleId="14">
    <w:name w:val="日期 字符"/>
    <w:basedOn w:val="6"/>
    <w:link w:val="2"/>
    <w:semiHidden/>
    <w:uiPriority w:val="99"/>
  </w:style>
  <w:style w:type="paragraph" w:customStyle="1" w:styleId="1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17">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0">
    <w:name w:val="xl74"/>
    <w:basedOn w:val="1"/>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1">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2">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5">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6">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7">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8">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9">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0">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3">
    <w:name w:val="List Paragraph"/>
    <w:basedOn w:val="1"/>
    <w:qFormat/>
    <w:uiPriority w:val="34"/>
    <w:pPr>
      <w:ind w:firstLine="420" w:firstLineChars="200"/>
    </w:pPr>
  </w:style>
  <w:style w:type="paragraph" w:customStyle="1" w:styleId="34">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5">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8">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9">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1863</Words>
  <Characters>10622</Characters>
  <Lines>88</Lines>
  <Paragraphs>24</Paragraphs>
  <TotalTime>70</TotalTime>
  <ScaleCrop>false</ScaleCrop>
  <LinksUpToDate>false</LinksUpToDate>
  <CharactersWithSpaces>12461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2020-03-02T02:48:00Z</dcterms:created>
  <dc:creator>langlf</dc:creator>
  <cp:lastModifiedBy>sjl</cp:lastModifiedBy>
  <cp:lastPrinted>2020-04-29T05:34:00Z</cp:lastPrinted>
  <dcterms:modified xsi:type="dcterms:W3CDTF">2020-04-30T03:09:09Z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